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仿宋_GB2312" w:hAnsi="黑体" w:eastAsia="仿宋_GB2312"/>
          <w:sz w:val="32"/>
          <w:szCs w:val="32"/>
        </w:rPr>
        <w:t>附件：</w:t>
      </w:r>
      <w:bookmarkStart w:id="0" w:name="_GoBack"/>
      <w:bookmarkEnd w:id="0"/>
    </w:p>
    <w:p>
      <w:pPr>
        <w:spacing w:line="600" w:lineRule="exact"/>
        <w:jc w:val="center"/>
        <w:rPr>
          <w:rFonts w:ascii="宋体" w:hAnsi="宋体" w:eastAsia="宋体" w:cs="宋体"/>
          <w:b/>
          <w:bCs/>
          <w:sz w:val="36"/>
          <w:szCs w:val="36"/>
        </w:rPr>
      </w:pPr>
      <w:r>
        <w:rPr>
          <w:rFonts w:hint="eastAsia" w:ascii="宋体" w:hAnsi="宋体" w:eastAsia="宋体" w:cs="宋体"/>
          <w:b/>
          <w:bCs/>
          <w:sz w:val="36"/>
          <w:szCs w:val="36"/>
        </w:rPr>
        <w:t xml:space="preserve"> “20</w:t>
      </w:r>
      <w:r>
        <w:rPr>
          <w:rFonts w:hint="eastAsia" w:ascii="宋体" w:hAnsi="宋体" w:cs="宋体"/>
          <w:b/>
          <w:bCs/>
          <w:sz w:val="36"/>
          <w:szCs w:val="36"/>
        </w:rPr>
        <w:t>21</w:t>
      </w:r>
      <w:r>
        <w:rPr>
          <w:rFonts w:hint="eastAsia" w:ascii="宋体" w:hAnsi="宋体" w:eastAsia="宋体" w:cs="宋体"/>
          <w:b/>
          <w:bCs/>
          <w:sz w:val="36"/>
          <w:szCs w:val="36"/>
        </w:rPr>
        <w:t>年银行业好新闻”优秀作品</w:t>
      </w:r>
    </w:p>
    <w:p>
      <w:pPr>
        <w:spacing w:line="600" w:lineRule="exact"/>
        <w:jc w:val="center"/>
        <w:rPr>
          <w:rFonts w:ascii="宋体" w:hAnsi="宋体" w:cs="宋体"/>
          <w:b/>
          <w:bCs/>
          <w:sz w:val="36"/>
          <w:szCs w:val="36"/>
        </w:rPr>
      </w:pPr>
      <w:r>
        <w:rPr>
          <w:rFonts w:hint="eastAsia" w:ascii="宋体" w:hAnsi="宋体" w:eastAsia="宋体" w:cs="宋体"/>
          <w:b/>
          <w:bCs/>
          <w:sz w:val="36"/>
          <w:szCs w:val="36"/>
        </w:rPr>
        <w:t>银行业</w:t>
      </w:r>
      <w:r>
        <w:rPr>
          <w:rFonts w:hint="eastAsia" w:ascii="宋体" w:hAnsi="宋体" w:cs="宋体"/>
          <w:b/>
          <w:bCs/>
          <w:sz w:val="36"/>
          <w:szCs w:val="36"/>
        </w:rPr>
        <w:t>金融机构</w:t>
      </w:r>
      <w:r>
        <w:rPr>
          <w:rFonts w:hint="eastAsia" w:ascii="宋体" w:hAnsi="宋体" w:eastAsia="宋体" w:cs="宋体"/>
          <w:b/>
          <w:bCs/>
          <w:sz w:val="36"/>
          <w:szCs w:val="36"/>
        </w:rPr>
        <w:t>组</w:t>
      </w:r>
    </w:p>
    <w:p>
      <w:pPr>
        <w:spacing w:line="600" w:lineRule="exact"/>
        <w:jc w:val="center"/>
        <w:rPr>
          <w:rFonts w:ascii="宋体" w:hAnsi="宋体" w:cs="宋体"/>
          <w:b/>
          <w:bCs/>
          <w:sz w:val="24"/>
          <w:szCs w:val="24"/>
        </w:rPr>
      </w:pPr>
      <w:r>
        <w:rPr>
          <w:rFonts w:hint="eastAsia" w:ascii="仿宋" w:hAnsi="仿宋" w:eastAsia="仿宋" w:cs="仿宋"/>
          <w:sz w:val="24"/>
          <w:szCs w:val="24"/>
        </w:rPr>
        <w:t>（根据总得分降次排序）</w:t>
      </w:r>
    </w:p>
    <w:tbl>
      <w:tblPr>
        <w:tblStyle w:val="4"/>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9"/>
        <w:gridCol w:w="1618"/>
        <w:gridCol w:w="5208"/>
        <w:gridCol w:w="1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940" w:type="dxa"/>
            <w:gridSpan w:val="4"/>
            <w:tcBorders>
              <w:top w:val="single" w:color="000000" w:sz="8" w:space="0"/>
              <w:left w:val="single" w:color="000000" w:sz="8" w:space="0"/>
              <w:bottom w:val="single" w:color="000000" w:sz="8" w:space="0"/>
              <w:right w:val="single" w:color="000000" w:sz="8" w:space="0"/>
            </w:tcBorders>
            <w:shd w:val="clear" w:color="auto" w:fill="BDD7EE"/>
            <w:vAlign w:val="center"/>
          </w:tcPr>
          <w:p>
            <w:pPr>
              <w:widowControl/>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“普惠金融”好新闻（20家）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39" w:type="dxa"/>
            <w:tcBorders>
              <w:top w:val="nil"/>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b/>
                <w:bCs/>
                <w:color w:val="000000"/>
                <w:sz w:val="22"/>
              </w:rPr>
            </w:pPr>
            <w:r>
              <w:rPr>
                <w:rFonts w:hint="eastAsia" w:ascii="仿宋_GB2312" w:hAnsi="仿宋_GB2312" w:eastAsia="仿宋_GB2312" w:cs="仿宋_GB2312"/>
                <w:b/>
                <w:bCs/>
                <w:color w:val="000000"/>
                <w:kern w:val="0"/>
                <w:sz w:val="22"/>
              </w:rPr>
              <w:t>排名</w:t>
            </w:r>
          </w:p>
        </w:tc>
        <w:tc>
          <w:tcPr>
            <w:tcW w:w="1618" w:type="dxa"/>
            <w:tcBorders>
              <w:top w:val="nil"/>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b/>
                <w:bCs/>
                <w:color w:val="000000"/>
                <w:sz w:val="22"/>
              </w:rPr>
            </w:pPr>
            <w:r>
              <w:rPr>
                <w:rFonts w:hint="eastAsia" w:ascii="仿宋_GB2312" w:hAnsi="仿宋_GB2312" w:eastAsia="仿宋_GB2312" w:cs="仿宋_GB2312"/>
                <w:b/>
                <w:bCs/>
                <w:color w:val="000000"/>
                <w:kern w:val="0"/>
                <w:sz w:val="22"/>
              </w:rPr>
              <w:t>报送单位</w:t>
            </w:r>
          </w:p>
        </w:tc>
        <w:tc>
          <w:tcPr>
            <w:tcW w:w="5208" w:type="dxa"/>
            <w:tcBorders>
              <w:top w:val="nil"/>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b/>
                <w:bCs/>
                <w:color w:val="000000"/>
                <w:sz w:val="22"/>
              </w:rPr>
            </w:pPr>
            <w:r>
              <w:rPr>
                <w:rFonts w:hint="eastAsia" w:ascii="仿宋_GB2312" w:hAnsi="仿宋_GB2312" w:eastAsia="仿宋_GB2312" w:cs="仿宋_GB2312"/>
                <w:b/>
                <w:bCs/>
                <w:color w:val="000000"/>
                <w:kern w:val="0"/>
                <w:sz w:val="22"/>
              </w:rPr>
              <w:t>新闻标题</w:t>
            </w:r>
          </w:p>
        </w:tc>
        <w:tc>
          <w:tcPr>
            <w:tcW w:w="1375" w:type="dxa"/>
            <w:tcBorders>
              <w:top w:val="nil"/>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b/>
                <w:bCs/>
                <w:color w:val="000000"/>
                <w:sz w:val="22"/>
              </w:rPr>
            </w:pPr>
            <w:r>
              <w:rPr>
                <w:rFonts w:hint="eastAsia" w:ascii="仿宋_GB2312" w:hAnsi="仿宋_GB2312" w:eastAsia="仿宋_GB2312" w:cs="仿宋_GB2312"/>
                <w:b/>
                <w:bCs/>
                <w:color w:val="000000"/>
                <w:kern w:val="0"/>
                <w:sz w:val="22"/>
              </w:rPr>
              <w:t>刊发媒介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中国银行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无惧风雨，迎来新日出——写在为建设全球一流现代银行集团接续奋斗之际</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官网、公众号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2</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交通银行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解码国有大行“火锅金融”样本 : 打通“G端+B端+C端”，破局小微供应链金融</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3</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中信银行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 xml:space="preserve">发挥集团协同优势，助力粤港澳大湾区发展 </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中信银行打出支持实体经济“组合拳”</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官网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739" w:type="dxa"/>
            <w:tcBorders>
              <w:top w:val="single" w:color="000000" w:sz="4" w:space="0"/>
              <w:left w:val="single" w:color="000000" w:sz="4" w:space="0"/>
              <w:bottom w:val="nil"/>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4</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建设银行报（特稿）</w:t>
            </w:r>
          </w:p>
        </w:tc>
        <w:tc>
          <w:tcPr>
            <w:tcW w:w="5208"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张富清精神在建行</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——我行在党史学习教育中持续推进学习张富清精神常态化</w:t>
            </w:r>
          </w:p>
        </w:tc>
        <w:tc>
          <w:tcPr>
            <w:tcW w:w="1375"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报纸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39" w:type="dxa"/>
            <w:tcBorders>
              <w:top w:val="single" w:color="000000" w:sz="4" w:space="0"/>
              <w:left w:val="single" w:color="000000" w:sz="4" w:space="0"/>
              <w:bottom w:val="nil"/>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5</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广发银行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 xml:space="preserve">广发银行加码布局湾区 全力支持广东省自贸区建设                                                                                    </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6</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浙江省农村信用社联合社</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丹心倾活水 金穗话康庄</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——浙江农信鼎力支持26县跨越式高质量发展</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报纸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7</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江苏银行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江苏银行与江苏制造</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官网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8</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厦门国际银行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唱山歌 念海经 厦门国际银行生动实践普惠金融</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9</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上海农商银行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上海农商银行焕新出发，“普惠”激发新动能</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官网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739" w:type="dxa"/>
            <w:tcBorders>
              <w:top w:val="single" w:color="000000" w:sz="4" w:space="0"/>
              <w:left w:val="single" w:color="000000" w:sz="4" w:space="0"/>
              <w:bottom w:val="nil"/>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10</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中国信达资产管理股份有限公司</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“奋斗百年路，启航新征程”系列微视频新闻——中国信达浙江分公司</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内网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11</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浙江省银行业协会</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浙江银行业保险业清廉金融文化建设推进会暨 “礼赞百年•向廉而行•奋进新时代”主题演讲比赛顺利举行</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12</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江西银行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江西银行：打好“五有”组合拳</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倾力支持赣州市、吉安市普惠金融改革试验区建设</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739" w:type="dxa"/>
            <w:tcBorders>
              <w:top w:val="single" w:color="000000" w:sz="4" w:space="0"/>
              <w:left w:val="single" w:color="000000" w:sz="4" w:space="0"/>
              <w:bottom w:val="nil"/>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13</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浙商银行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 xml:space="preserve">《银行党建样本：浙商银行开展“三为”实践活动助力实体经济》                                                                                           </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官网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14</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招联消费金融有限公司</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招联金融：坚持党建引领 用作消费金融“排头兵</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官网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39" w:type="dxa"/>
            <w:tcBorders>
              <w:top w:val="nil"/>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15</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恒丰银行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恒丰银行为黄河流域高质量发展增添“金融亮色”</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官网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16</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中国长城资产管理股份有限公司</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守正创新 聚焦主业 中国长城资产扎实履行化解金融风险职责</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官网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17</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贵州银行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【四化故事汇】乘着金融快车，</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桃源河开往“四季春”</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739" w:type="dxa"/>
            <w:tcBorders>
              <w:top w:val="nil"/>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18</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富邦华一银行</w:t>
            </w:r>
          </w:p>
        </w:tc>
        <w:tc>
          <w:tcPr>
            <w:tcW w:w="5208"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硬核举措！富邦华一银行推出跨境服务“组合拳”</w:t>
            </w:r>
          </w:p>
        </w:tc>
        <w:tc>
          <w:tcPr>
            <w:tcW w:w="1375"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官网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19</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南洋商业银行（中国）有限公司</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加入中国信达五周年，南洋商业银行发力境外美元债，跨境金融服务再升级</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官网、微信公众号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39" w:type="dxa"/>
            <w:tcBorders>
              <w:top w:val="single" w:color="000000" w:sz="4" w:space="0"/>
              <w:left w:val="single" w:color="000000" w:sz="4" w:space="0"/>
              <w:bottom w:val="nil"/>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20</w:t>
            </w:r>
          </w:p>
        </w:tc>
        <w:tc>
          <w:tcPr>
            <w:tcW w:w="1618"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中国东方资产管理股份有限公司</w:t>
            </w:r>
          </w:p>
        </w:tc>
        <w:tc>
          <w:tcPr>
            <w:tcW w:w="5208"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中国东方坚守主责主业、服务实体经济系列报道</w:t>
            </w:r>
          </w:p>
        </w:tc>
        <w:tc>
          <w:tcPr>
            <w:tcW w:w="1375"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8940" w:type="dxa"/>
            <w:gridSpan w:val="4"/>
            <w:tcBorders>
              <w:top w:val="single" w:color="000000" w:sz="8" w:space="0"/>
              <w:left w:val="single" w:color="000000" w:sz="8" w:space="0"/>
              <w:bottom w:val="single" w:color="000000" w:sz="8" w:space="0"/>
              <w:right w:val="single" w:color="000000" w:sz="8" w:space="0"/>
            </w:tcBorders>
            <w:shd w:val="clear" w:color="auto" w:fill="BDD7EE"/>
            <w:vAlign w:val="center"/>
          </w:tcPr>
          <w:p>
            <w:pPr>
              <w:widowControl/>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“保障民生”好新闻（20家）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9" w:type="dxa"/>
            <w:tcBorders>
              <w:top w:val="nil"/>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b/>
                <w:bCs/>
                <w:color w:val="000000"/>
                <w:sz w:val="22"/>
              </w:rPr>
            </w:pPr>
            <w:r>
              <w:rPr>
                <w:rFonts w:hint="eastAsia" w:ascii="仿宋_GB2312" w:hAnsi="仿宋_GB2312" w:eastAsia="仿宋_GB2312" w:cs="仿宋_GB2312"/>
                <w:b/>
                <w:bCs/>
                <w:color w:val="000000"/>
                <w:kern w:val="0"/>
                <w:sz w:val="22"/>
              </w:rPr>
              <w:t>排名</w:t>
            </w:r>
          </w:p>
        </w:tc>
        <w:tc>
          <w:tcPr>
            <w:tcW w:w="1618" w:type="dxa"/>
            <w:tcBorders>
              <w:top w:val="nil"/>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b/>
                <w:bCs/>
                <w:color w:val="000000"/>
                <w:sz w:val="22"/>
              </w:rPr>
            </w:pPr>
            <w:r>
              <w:rPr>
                <w:rFonts w:hint="eastAsia" w:ascii="仿宋_GB2312" w:hAnsi="仿宋_GB2312" w:eastAsia="仿宋_GB2312" w:cs="仿宋_GB2312"/>
                <w:b/>
                <w:bCs/>
                <w:color w:val="000000"/>
                <w:kern w:val="0"/>
                <w:sz w:val="22"/>
              </w:rPr>
              <w:t>报送单位</w:t>
            </w:r>
          </w:p>
        </w:tc>
        <w:tc>
          <w:tcPr>
            <w:tcW w:w="5208" w:type="dxa"/>
            <w:tcBorders>
              <w:top w:val="nil"/>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b/>
                <w:bCs/>
                <w:color w:val="000000"/>
                <w:sz w:val="22"/>
              </w:rPr>
            </w:pPr>
            <w:r>
              <w:rPr>
                <w:rFonts w:hint="eastAsia" w:ascii="仿宋_GB2312" w:hAnsi="仿宋_GB2312" w:eastAsia="仿宋_GB2312" w:cs="仿宋_GB2312"/>
                <w:b/>
                <w:bCs/>
                <w:color w:val="000000"/>
                <w:kern w:val="0"/>
                <w:sz w:val="22"/>
              </w:rPr>
              <w:t>新闻标题</w:t>
            </w:r>
          </w:p>
        </w:tc>
        <w:tc>
          <w:tcPr>
            <w:tcW w:w="1375" w:type="dxa"/>
            <w:tcBorders>
              <w:top w:val="nil"/>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b/>
                <w:bCs/>
                <w:color w:val="000000"/>
                <w:sz w:val="22"/>
              </w:rPr>
            </w:pPr>
            <w:r>
              <w:rPr>
                <w:rFonts w:hint="eastAsia" w:ascii="仿宋_GB2312" w:hAnsi="仿宋_GB2312" w:eastAsia="仿宋_GB2312" w:cs="仿宋_GB2312"/>
                <w:b/>
                <w:bCs/>
                <w:color w:val="000000"/>
                <w:kern w:val="0"/>
                <w:sz w:val="22"/>
              </w:rPr>
              <w:t>刊发媒介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中国工商银行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工商银行防汛救灾系列报道—《风里雨里，工行挺你！》</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2</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招商银行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一封80岁老人的感谢信曝光，</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招行适老化服务有多暖</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3</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中国光大银行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我为群众办实事|光大版“声入人心”！听，来自田间地头的声音</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微信订阅号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4</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北京银行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 xml:space="preserve">民族团结一家亲，北京银行邀请新疆和田市吉亚乡村干部赴京交流学习                                                                                    </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5</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郑州银行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 xml:space="preserve">打好金融“组合拳” 服务黄河流域高质量发展—郑州银行“金融引擎”推动“黄河战略”落实落细 </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6</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新疆维吾尔自治区农村信用社联合社</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 xml:space="preserve">   传承“三水精神” 展现时代作为</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 xml:space="preserve">  —新疆农信社“我为群众办实事”实践活动纪实  </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今日头条号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7</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恒生银行（中国）有限公司</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种·未来 藏种于民，播种未来——写在丰收大地上的可持续发展故事</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8</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北京农商银行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北京农商银行 全力服务保障首都“菜篮子”“米袋子”“肉案子”“奶瓶子”</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微信订阅号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9</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厦门市银行业协会</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同心战“疫 ”，共期安康</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——厦门市银行业协会“疫”线服务显成效</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10</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江苏省银行业协会</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聚力履职担当 办好群众实事 书写江苏银行业“适老”金融服务特色答卷——对话江苏省银行业协会</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官网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11</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天津银行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全国城商行首家金融标准认证“适老服务示范网点”落地天津银行</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12</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广州农商银行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为“白衣天使”加油！35度高温下，他们送去9吨冰块</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13</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汇丰银行（中国）有限公司</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汇丰在行动</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热心公益事业30年 汇丰只为每一个笑容</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微信视频号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14</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湖北省银行业协会</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湖北省银行业协会着力开展消费者权益保护攻坚克难专项工作</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官网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15</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陕西省银行业协会</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陕西银行业为十四运会贡献金融力量</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官网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16</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西安银行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西安银行：聚集金融力量 逐梦精彩全运</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17</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东亚银行（中国）有限公司</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东亚中国捐款300万元驰援河南洪灾</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18</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湖北银行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湖北银行10年深耕荆楚，5000余亿元支持近700个重大项目——擦亮地方金融金字招牌</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官网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19</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贵阳农商银行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【我为群众办实事】创新金融模式 为民办好实事</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39" w:type="dxa"/>
            <w:tcBorders>
              <w:top w:val="single" w:color="000000" w:sz="4" w:space="0"/>
              <w:left w:val="single" w:color="000000" w:sz="4" w:space="0"/>
              <w:bottom w:val="nil"/>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20</w:t>
            </w:r>
          </w:p>
        </w:tc>
        <w:tc>
          <w:tcPr>
            <w:tcW w:w="1618"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唐山银行</w:t>
            </w:r>
          </w:p>
        </w:tc>
        <w:tc>
          <w:tcPr>
            <w:tcW w:w="5208" w:type="dxa"/>
            <w:tcBorders>
              <w:top w:val="single" w:color="000000" w:sz="4" w:space="0"/>
              <w:left w:val="single" w:color="000000" w:sz="4" w:space="0"/>
              <w:bottom w:val="nil"/>
              <w:right w:val="single" w:color="000000" w:sz="4" w:space="0"/>
            </w:tcBorders>
            <w:vAlign w:val="center"/>
          </w:tcPr>
          <w:p>
            <w:pPr>
              <w:widowControl/>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 xml:space="preserve">就近办，一次办！唐山银行与唐山市行政审批局签订政银合作协议                                                                             </w:t>
            </w:r>
          </w:p>
        </w:tc>
        <w:tc>
          <w:tcPr>
            <w:tcW w:w="1375"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8940" w:type="dxa"/>
            <w:gridSpan w:val="4"/>
            <w:tcBorders>
              <w:top w:val="single" w:color="000000" w:sz="8" w:space="0"/>
              <w:left w:val="single" w:color="000000" w:sz="8" w:space="0"/>
              <w:bottom w:val="single" w:color="000000" w:sz="8" w:space="0"/>
              <w:right w:val="single" w:color="000000" w:sz="8" w:space="0"/>
            </w:tcBorders>
            <w:shd w:val="clear" w:color="auto" w:fill="BDD7EE"/>
            <w:vAlign w:val="center"/>
          </w:tcPr>
          <w:p>
            <w:pPr>
              <w:widowControl/>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“服务三农”好新闻（20家）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739" w:type="dxa"/>
            <w:tcBorders>
              <w:top w:val="nil"/>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b/>
                <w:bCs/>
                <w:color w:val="000000"/>
                <w:sz w:val="22"/>
              </w:rPr>
            </w:pPr>
            <w:r>
              <w:rPr>
                <w:rFonts w:hint="eastAsia" w:ascii="仿宋_GB2312" w:hAnsi="仿宋_GB2312" w:eastAsia="仿宋_GB2312" w:cs="仿宋_GB2312"/>
                <w:b/>
                <w:bCs/>
                <w:color w:val="000000"/>
                <w:kern w:val="0"/>
                <w:sz w:val="22"/>
              </w:rPr>
              <w:t>排名</w:t>
            </w:r>
          </w:p>
        </w:tc>
        <w:tc>
          <w:tcPr>
            <w:tcW w:w="1618" w:type="dxa"/>
            <w:tcBorders>
              <w:top w:val="nil"/>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b/>
                <w:bCs/>
                <w:color w:val="000000"/>
                <w:sz w:val="22"/>
              </w:rPr>
            </w:pPr>
            <w:r>
              <w:rPr>
                <w:rFonts w:hint="eastAsia" w:ascii="仿宋_GB2312" w:hAnsi="仿宋_GB2312" w:eastAsia="仿宋_GB2312" w:cs="仿宋_GB2312"/>
                <w:b/>
                <w:bCs/>
                <w:color w:val="000000"/>
                <w:kern w:val="0"/>
                <w:sz w:val="22"/>
              </w:rPr>
              <w:t>报送单位</w:t>
            </w:r>
          </w:p>
        </w:tc>
        <w:tc>
          <w:tcPr>
            <w:tcW w:w="5208" w:type="dxa"/>
            <w:tcBorders>
              <w:top w:val="nil"/>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b/>
                <w:bCs/>
                <w:color w:val="000000"/>
                <w:sz w:val="22"/>
              </w:rPr>
            </w:pPr>
            <w:r>
              <w:rPr>
                <w:rFonts w:hint="eastAsia" w:ascii="仿宋_GB2312" w:hAnsi="仿宋_GB2312" w:eastAsia="仿宋_GB2312" w:cs="仿宋_GB2312"/>
                <w:b/>
                <w:bCs/>
                <w:color w:val="000000"/>
                <w:kern w:val="0"/>
                <w:sz w:val="22"/>
              </w:rPr>
              <w:t>新闻标题</w:t>
            </w:r>
          </w:p>
        </w:tc>
        <w:tc>
          <w:tcPr>
            <w:tcW w:w="1375" w:type="dxa"/>
            <w:tcBorders>
              <w:top w:val="nil"/>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b/>
                <w:bCs/>
                <w:color w:val="000000"/>
                <w:sz w:val="22"/>
              </w:rPr>
            </w:pPr>
            <w:r>
              <w:rPr>
                <w:rFonts w:hint="eastAsia" w:ascii="仿宋_GB2312" w:hAnsi="仿宋_GB2312" w:eastAsia="仿宋_GB2312" w:cs="仿宋_GB2312"/>
                <w:b/>
                <w:bCs/>
                <w:color w:val="000000"/>
                <w:kern w:val="0"/>
                <w:sz w:val="22"/>
              </w:rPr>
              <w:t>刊发媒介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中国建设银行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中国建设银行好新闻“奋进在希望的田野上”系列报道</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报纸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2</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中国农业银行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全面小康路上的农行力量｜惠此中国 民亦小康</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3</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国家开发银行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国开行在服务脱贫攻坚战全面胜利中交出合格答卷</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4</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中国邮政储蓄银行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“扶贫印记”系列报道代表作：扎西闹吾 让青春在扶贫路上如格桑花般绽放</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5</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中国农业发展银行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 xml:space="preserve">农发行研究出台支持国家乡村振兴重点帮扶县差异化政策    </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公众号、内刊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6</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兴业银行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“兴农”之路——乡村振兴系列报道</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官网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7</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民生银行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点燃希望，相伴成长</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——中国民生银行定点帮扶乡村优秀教师培训项目纪实</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8</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齐鲁银行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【山东卫视】【牢记嘱托扎实实施乡村振兴战略】齐鲁银行：发展县域金融助力特色产业</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电视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9</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广东省农村信用社联合社</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2021广东农信服务乡村振兴的专题信息</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官网、企业微信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10</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广东银行同业公会</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全方位、多层次推动广东银行业落实“乡村振兴”战略</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11</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哈尔滨银行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哈尔滨银行2021年“中国农民丰收节”客户故事展播</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12</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苏州银行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为村民增收铺路 助乡村振兴架桥 亚联盟精准帮扶青海省贵德县仍果村乡村振兴现场推进会顺利召开</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官网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13</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青海省农村信用社联合社</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走进青海农信！</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以普惠金融滋养每一户农牧民</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14</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山东省银行业协会</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山东银行业接续推进全面脱贫与乡村振兴有效衔接</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协会会刊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15</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广东顺德农商行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创新设立“乡村振兴部落”，顺德农商银行以党建引领助力乡村振兴</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16</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甘肃省农村信用社联合社</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“金融活水”润乡间-临洮农商银行服务乡村振兴纪实</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17</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贵阳银行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贵阳银行：奋力书写乡村振兴这篇大文章</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2"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18</w:t>
            </w:r>
          </w:p>
        </w:tc>
        <w:tc>
          <w:tcPr>
            <w:tcW w:w="1618"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哈银金融租赁有限责任公司</w:t>
            </w:r>
          </w:p>
        </w:tc>
        <w:tc>
          <w:tcPr>
            <w:tcW w:w="5208"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金融租赁惠“三农”  高端农机助丰收</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——哈银金租携手沃得农机助推龙江农业高质量发展</w:t>
            </w:r>
          </w:p>
        </w:tc>
        <w:tc>
          <w:tcPr>
            <w:tcW w:w="1375"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微信公众号、官网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19</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重庆巴南浦发村镇银行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巴南浦发开展“迎中秋，金融只是下乡村”系列活动暨普惠金融到村基地揭牌仪式</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39" w:type="dxa"/>
            <w:tcBorders>
              <w:top w:val="single" w:color="000000" w:sz="4" w:space="0"/>
              <w:left w:val="single" w:color="000000" w:sz="4" w:space="0"/>
              <w:bottom w:val="nil"/>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20</w:t>
            </w:r>
          </w:p>
        </w:tc>
        <w:tc>
          <w:tcPr>
            <w:tcW w:w="1618"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内蒙古自治区农村信用社联合社</w:t>
            </w:r>
          </w:p>
        </w:tc>
        <w:tc>
          <w:tcPr>
            <w:tcW w:w="5208"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70年风雨兼程，70年初心不改—内蒙古农村信用社服务地方经济社会发展纪实</w:t>
            </w:r>
          </w:p>
        </w:tc>
        <w:tc>
          <w:tcPr>
            <w:tcW w:w="1375"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微信订阅号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940" w:type="dxa"/>
            <w:gridSpan w:val="4"/>
            <w:tcBorders>
              <w:top w:val="single" w:color="000000" w:sz="8" w:space="0"/>
              <w:left w:val="single" w:color="000000" w:sz="8" w:space="0"/>
              <w:bottom w:val="single" w:color="000000" w:sz="8" w:space="0"/>
              <w:right w:val="single" w:color="000000" w:sz="8" w:space="0"/>
            </w:tcBorders>
            <w:shd w:val="clear" w:color="auto" w:fill="BDD7EE"/>
            <w:vAlign w:val="center"/>
          </w:tcPr>
          <w:p>
            <w:pPr>
              <w:widowControl/>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“创新发展”好新闻（20家）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39" w:type="dxa"/>
            <w:tcBorders>
              <w:top w:val="nil"/>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b/>
                <w:bCs/>
                <w:color w:val="000000"/>
                <w:sz w:val="22"/>
              </w:rPr>
            </w:pPr>
            <w:r>
              <w:rPr>
                <w:rFonts w:hint="eastAsia" w:ascii="仿宋_GB2312" w:hAnsi="仿宋_GB2312" w:eastAsia="仿宋_GB2312" w:cs="仿宋_GB2312"/>
                <w:b/>
                <w:bCs/>
                <w:color w:val="000000"/>
                <w:kern w:val="0"/>
                <w:sz w:val="22"/>
              </w:rPr>
              <w:t>排名</w:t>
            </w:r>
          </w:p>
        </w:tc>
        <w:tc>
          <w:tcPr>
            <w:tcW w:w="1618" w:type="dxa"/>
            <w:tcBorders>
              <w:top w:val="nil"/>
              <w:left w:val="single" w:color="000000" w:sz="4" w:space="0"/>
              <w:bottom w:val="single" w:color="000000" w:sz="4" w:space="0"/>
              <w:right w:val="single" w:color="000000" w:sz="4" w:space="0"/>
            </w:tcBorders>
            <w:shd w:val="clear" w:color="auto" w:fill="E7E6E6"/>
            <w:vAlign w:val="center"/>
          </w:tcPr>
          <w:p>
            <w:pPr>
              <w:widowControl/>
              <w:jc w:val="center"/>
              <w:textAlignment w:val="center"/>
              <w:rPr>
                <w:rFonts w:ascii="仿宋_GB2312" w:hAnsi="仿宋_GB2312" w:eastAsia="仿宋_GB2312" w:cs="仿宋_GB2312"/>
                <w:b/>
                <w:bCs/>
                <w:color w:val="000000"/>
                <w:sz w:val="22"/>
              </w:rPr>
            </w:pPr>
            <w:r>
              <w:rPr>
                <w:rFonts w:hint="eastAsia" w:ascii="仿宋_GB2312" w:hAnsi="仿宋_GB2312" w:eastAsia="仿宋_GB2312" w:cs="仿宋_GB2312"/>
                <w:b/>
                <w:bCs/>
                <w:color w:val="000000"/>
                <w:kern w:val="0"/>
                <w:sz w:val="22"/>
              </w:rPr>
              <w:t>报送单位</w:t>
            </w:r>
          </w:p>
        </w:tc>
        <w:tc>
          <w:tcPr>
            <w:tcW w:w="5208" w:type="dxa"/>
            <w:tcBorders>
              <w:top w:val="nil"/>
              <w:left w:val="single" w:color="000000" w:sz="4" w:space="0"/>
              <w:bottom w:val="single" w:color="000000" w:sz="4" w:space="0"/>
              <w:right w:val="single" w:color="000000" w:sz="4" w:space="0"/>
            </w:tcBorders>
            <w:shd w:val="clear" w:color="auto" w:fill="E7E6E6"/>
            <w:vAlign w:val="center"/>
          </w:tcPr>
          <w:p>
            <w:pPr>
              <w:widowControl/>
              <w:jc w:val="center"/>
              <w:textAlignment w:val="center"/>
              <w:rPr>
                <w:rFonts w:ascii="仿宋_GB2312" w:hAnsi="仿宋_GB2312" w:eastAsia="仿宋_GB2312" w:cs="仿宋_GB2312"/>
                <w:b/>
                <w:bCs/>
                <w:color w:val="000000"/>
                <w:sz w:val="22"/>
              </w:rPr>
            </w:pPr>
            <w:r>
              <w:rPr>
                <w:rFonts w:hint="eastAsia" w:ascii="仿宋_GB2312" w:hAnsi="仿宋_GB2312" w:eastAsia="仿宋_GB2312" w:cs="仿宋_GB2312"/>
                <w:b/>
                <w:bCs/>
                <w:color w:val="000000"/>
                <w:kern w:val="0"/>
                <w:sz w:val="22"/>
              </w:rPr>
              <w:t>新闻标题</w:t>
            </w:r>
          </w:p>
        </w:tc>
        <w:tc>
          <w:tcPr>
            <w:tcW w:w="1375" w:type="dxa"/>
            <w:tcBorders>
              <w:top w:val="nil"/>
              <w:left w:val="single" w:color="000000" w:sz="4" w:space="0"/>
              <w:bottom w:val="single" w:color="000000" w:sz="4" w:space="0"/>
              <w:right w:val="single" w:color="000000" w:sz="4" w:space="0"/>
            </w:tcBorders>
            <w:shd w:val="clear" w:color="auto" w:fill="E7E6E6"/>
            <w:vAlign w:val="center"/>
          </w:tcPr>
          <w:p>
            <w:pPr>
              <w:widowControl/>
              <w:jc w:val="center"/>
              <w:textAlignment w:val="center"/>
              <w:rPr>
                <w:rFonts w:ascii="仿宋_GB2312" w:hAnsi="仿宋_GB2312" w:eastAsia="仿宋_GB2312" w:cs="仿宋_GB2312"/>
                <w:b/>
                <w:bCs/>
                <w:color w:val="000000"/>
                <w:sz w:val="22"/>
              </w:rPr>
            </w:pPr>
            <w:r>
              <w:rPr>
                <w:rFonts w:hint="eastAsia" w:ascii="仿宋_GB2312" w:hAnsi="仿宋_GB2312" w:eastAsia="仿宋_GB2312" w:cs="仿宋_GB2312"/>
                <w:b/>
                <w:bCs/>
                <w:color w:val="000000"/>
                <w:kern w:val="0"/>
                <w:sz w:val="22"/>
              </w:rPr>
              <w:t>刊发媒介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平安银行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 xml:space="preserve">又一里程碑！平安银行星云物联网平台设备接入破千万！                                                                                                 </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2</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中国进出口银行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进出口银行加码绿色金融 绘就发展“低碳底色”</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官网</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3</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上海浦东发展银行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将“双碳”转型推向深入，浦发银行全面升级绿色金融服务体系</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4</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渤海银行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红色引领 蓬“渤”似海——渤海银行以党建为引领 聚力“四五”新局 推动高质量发展</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5</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杭州银行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杭州银行落地首单上市城商行碳排放配额质押贷款</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6</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厦门银行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厦门银行台胞专属“薪速汇”在福建省台资企业资本市场专题培训会上成功发布</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7</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华夏银行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创新绿色金融特色模式 华夏银行布局双碳变革大潮</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8</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上海银行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红色旋律声入陆家嘴，上海银行携手上海交响乐团奏响音乐党课</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微信订阅号、官网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9</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青岛银行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与世界，护好这片蓝  青岛银行举办蓝色金融发布会</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10</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深圳市银行业协会</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深圳银行业举办内控合规专题交流培训会：探索内控管理机制与数字化发展路径 筑牢风险防控根基</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11</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南京银行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十年同行，相伴成长——南京银行探索科技金融无限可能</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官网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12</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长沙银行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长沙银行发布品牌战略 凸显转型方向</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官网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13</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成都银行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成都这家银行的极其人到底好“洋盘”？走进成都金融科技创新应用</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电视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14</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汉口银行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 xml:space="preserve">从“做品牌”走向“做未来” </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——汉口银行推动科技金融创新发展纪实</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官网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15</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江苏金融租赁股份有限公司</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《微故事 世界那么大，“苏租兄弟”一起闯！》</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16</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中国华融资产管理股份有限公司</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 xml:space="preserve">科技赋能 深化融合 构建生态 </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中国华融大型特殊资产超市“融易淘”正式上线</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微信公众号、官网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17</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广州银行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广州银行“广银芯”系统工程项目正式投产上线</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18</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天津滨海农商银行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天津滨海农商行发放首笔绿色供应链融资</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19</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安徽省银行业协会</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安徽省银行业协会成功举办安徽省新兴产业发展与金融服务创新研究成果发布会</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官网、微信公众号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739" w:type="dxa"/>
            <w:tcBorders>
              <w:top w:val="single" w:color="000000" w:sz="4" w:space="0"/>
              <w:left w:val="single" w:color="000000" w:sz="4" w:space="0"/>
              <w:bottom w:val="single" w:color="000000" w:sz="4" w:space="0"/>
              <w:right w:val="single" w:color="000000" w:sz="4" w:space="0"/>
            </w:tcBorders>
            <w:shd w:val="clear" w:color="auto" w:fill="DBDBDB"/>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20</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东莞农商银行</w:t>
            </w:r>
          </w:p>
        </w:tc>
        <w:tc>
          <w:tcPr>
            <w:tcW w:w="5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东莞农商银行在香港成功上市，迈向高质量发展新征程</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微信订阅号、官网</w:t>
            </w:r>
          </w:p>
        </w:tc>
      </w:tr>
    </w:tbl>
    <w:p>
      <w:pPr>
        <w:rPr>
          <w:rFonts w:ascii="仿宋_GB2312" w:hAnsi="黑体" w:eastAsia="仿宋_GB2312"/>
          <w:sz w:val="32"/>
          <w:szCs w:val="32"/>
        </w:rPr>
      </w:pPr>
      <w:r>
        <w:rPr>
          <w:rFonts w:ascii="仿宋_GB2312" w:hAnsi="黑体" w:eastAsia="仿宋_GB2312"/>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445F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uiPriority w:val="0"/>
    <w:rPr>
      <w:sz w:val="18"/>
      <w:szCs w:val="18"/>
    </w:rPr>
  </w:style>
  <w:style w:type="character" w:customStyle="1" w:styleId="7">
    <w:name w:val="页眉 Char"/>
    <w:basedOn w:val="5"/>
    <w:link w:val="3"/>
    <w:semiHidden/>
    <w:qFormat/>
    <w:uiPriority w:val="0"/>
    <w:rPr>
      <w:sz w:val="18"/>
      <w:szCs w:val="18"/>
    </w:rPr>
  </w:style>
  <w:style w:type="paragraph" w:customStyle="1" w:styleId="8">
    <w:name w:val="List Paragraph"/>
    <w:basedOn w:val="1"/>
    <w:uiPriority w:val="0"/>
    <w:pPr>
      <w:ind w:firstLine="420" w:firstLineChars="200"/>
    </w:pPr>
    <w:rPr>
      <w:rFonts w:ascii="Calibri" w:hAnsi="Calibri" w:eastAsia="宋体" w:cs="Times New Roman"/>
    </w:rPr>
  </w:style>
  <w:style w:type="character" w:customStyle="1" w:styleId="9">
    <w:name w:val="awspan"/>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1064</Words>
  <Characters>5874</Characters>
  <Lines>50</Lines>
  <Paragraphs>14</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2022-01-10T10:22:00Z</dcterms:created>
  <dc:creator>宋泠</dc:creator>
  <cp:lastModifiedBy>念念不忘的饭团</cp:lastModifiedBy>
  <cp:lastPrinted>2022-01-13T01:37:58Z</cp:lastPrinted>
  <dcterms:modified xsi:type="dcterms:W3CDTF">2022-01-13T03:06:17Z</dcterms:modified>
  <dc:title>宋泠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2CF69C06C2504572AC9647C0433825CE</vt:lpwstr>
  </property>
</Properties>
</file>